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211" w:type="dxa"/>
        <w:jc w:val="center"/>
        <w:tblLayout w:type="fixed"/>
        <w:tblLook w:val="04A0" w:firstRow="1" w:lastRow="0" w:firstColumn="1" w:lastColumn="0" w:noHBand="0" w:noVBand="1"/>
      </w:tblPr>
      <w:tblGrid>
        <w:gridCol w:w="3514"/>
        <w:gridCol w:w="1170"/>
        <w:gridCol w:w="990"/>
        <w:gridCol w:w="990"/>
        <w:gridCol w:w="1260"/>
        <w:gridCol w:w="1350"/>
        <w:gridCol w:w="1350"/>
        <w:gridCol w:w="990"/>
        <w:gridCol w:w="990"/>
        <w:gridCol w:w="990"/>
        <w:gridCol w:w="1617"/>
      </w:tblGrid>
      <w:tr w:rsidR="00632BD2" w:rsidRPr="001F35A7" w:rsidTr="004A6A38">
        <w:trPr>
          <w:jc w:val="center"/>
        </w:trPr>
        <w:tc>
          <w:tcPr>
            <w:tcW w:w="152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  <w:vAlign w:val="bottom"/>
          </w:tcPr>
          <w:p w:rsidR="00632BD2" w:rsidRPr="00814085" w:rsidRDefault="00632BD2" w:rsidP="001F35A7">
            <w:pPr>
              <w:jc w:val="center"/>
              <w:rPr>
                <w:b/>
                <w:szCs w:val="18"/>
              </w:rPr>
            </w:pPr>
            <w:r w:rsidRPr="00814085">
              <w:rPr>
                <w:b/>
                <w:szCs w:val="18"/>
              </w:rPr>
              <w:t>IDEA-NW Project Linkages</w:t>
            </w:r>
          </w:p>
          <w:p w:rsidR="00632BD2" w:rsidRPr="00632BD2" w:rsidRDefault="00632BD2" w:rsidP="00A96E4E">
            <w:pPr>
              <w:jc w:val="center"/>
              <w:rPr>
                <w:sz w:val="20"/>
                <w:szCs w:val="18"/>
              </w:rPr>
            </w:pPr>
            <w:r w:rsidRPr="00814085">
              <w:rPr>
                <w:sz w:val="20"/>
                <w:szCs w:val="18"/>
              </w:rPr>
              <w:t xml:space="preserve">as of </w:t>
            </w:r>
            <w:r w:rsidR="00A96E4E">
              <w:rPr>
                <w:sz w:val="20"/>
                <w:szCs w:val="18"/>
              </w:rPr>
              <w:t>April 1</w:t>
            </w:r>
            <w:r w:rsidRPr="00814085">
              <w:rPr>
                <w:sz w:val="20"/>
                <w:szCs w:val="18"/>
              </w:rPr>
              <w:t>, 2012</w:t>
            </w:r>
            <w:bookmarkStart w:id="0" w:name="_GoBack"/>
            <w:bookmarkEnd w:id="0"/>
          </w:p>
        </w:tc>
      </w:tr>
      <w:tr w:rsidR="00C71801" w:rsidRPr="001F35A7" w:rsidTr="004A6A38">
        <w:trPr>
          <w:jc w:val="center"/>
        </w:trPr>
        <w:tc>
          <w:tcPr>
            <w:tcW w:w="3514" w:type="dxa"/>
            <w:tcBorders>
              <w:top w:val="nil"/>
              <w:left w:val="nil"/>
            </w:tcBorders>
            <w:vAlign w:val="bottom"/>
          </w:tcPr>
          <w:p w:rsidR="00F54D17" w:rsidRPr="00632BD2" w:rsidRDefault="00F54D17" w:rsidP="001F35A7">
            <w:pPr>
              <w:jc w:val="center"/>
              <w:rPr>
                <w:b/>
                <w:sz w:val="18"/>
                <w:szCs w:val="18"/>
              </w:rPr>
            </w:pPr>
            <w:r w:rsidRPr="00632BD2">
              <w:rPr>
                <w:b/>
                <w:sz w:val="18"/>
                <w:szCs w:val="18"/>
              </w:rPr>
              <w:t>Data source</w:t>
            </w:r>
          </w:p>
        </w:tc>
        <w:tc>
          <w:tcPr>
            <w:tcW w:w="1170" w:type="dxa"/>
            <w:tcBorders>
              <w:top w:val="nil"/>
            </w:tcBorders>
            <w:vAlign w:val="bottom"/>
          </w:tcPr>
          <w:p w:rsidR="00F54D17" w:rsidRPr="00632BD2" w:rsidRDefault="00F54D17" w:rsidP="001F35A7">
            <w:pPr>
              <w:jc w:val="center"/>
              <w:rPr>
                <w:b/>
                <w:sz w:val="18"/>
                <w:szCs w:val="18"/>
              </w:rPr>
            </w:pPr>
            <w:r w:rsidRPr="00632BD2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990" w:type="dxa"/>
            <w:tcBorders>
              <w:top w:val="nil"/>
            </w:tcBorders>
            <w:vAlign w:val="bottom"/>
          </w:tcPr>
          <w:p w:rsidR="00F54D17" w:rsidRPr="00632BD2" w:rsidRDefault="00F54D17" w:rsidP="001F35A7">
            <w:pPr>
              <w:jc w:val="center"/>
              <w:rPr>
                <w:b/>
                <w:sz w:val="18"/>
                <w:szCs w:val="18"/>
              </w:rPr>
            </w:pPr>
            <w:r w:rsidRPr="00632BD2">
              <w:rPr>
                <w:b/>
                <w:sz w:val="18"/>
                <w:szCs w:val="18"/>
              </w:rPr>
              <w:t>Cases sent for linkage</w:t>
            </w:r>
          </w:p>
        </w:tc>
        <w:tc>
          <w:tcPr>
            <w:tcW w:w="990" w:type="dxa"/>
            <w:tcBorders>
              <w:top w:val="nil"/>
            </w:tcBorders>
            <w:vAlign w:val="bottom"/>
          </w:tcPr>
          <w:p w:rsidR="00F54D17" w:rsidRPr="00632BD2" w:rsidRDefault="00F54D17" w:rsidP="001F35A7">
            <w:pPr>
              <w:jc w:val="center"/>
              <w:rPr>
                <w:b/>
                <w:sz w:val="18"/>
                <w:szCs w:val="18"/>
              </w:rPr>
            </w:pPr>
            <w:r w:rsidRPr="00632BD2">
              <w:rPr>
                <w:b/>
                <w:sz w:val="18"/>
                <w:szCs w:val="18"/>
              </w:rPr>
              <w:t>Matches</w:t>
            </w:r>
          </w:p>
        </w:tc>
        <w:tc>
          <w:tcPr>
            <w:tcW w:w="1260" w:type="dxa"/>
            <w:tcBorders>
              <w:top w:val="nil"/>
            </w:tcBorders>
            <w:vAlign w:val="bottom"/>
          </w:tcPr>
          <w:p w:rsidR="00F54D17" w:rsidRPr="00632BD2" w:rsidRDefault="00F54D17" w:rsidP="001F35A7">
            <w:pPr>
              <w:jc w:val="center"/>
              <w:rPr>
                <w:b/>
                <w:sz w:val="18"/>
                <w:szCs w:val="18"/>
              </w:rPr>
            </w:pPr>
            <w:r w:rsidRPr="00632BD2">
              <w:rPr>
                <w:b/>
                <w:sz w:val="18"/>
                <w:szCs w:val="18"/>
              </w:rPr>
              <w:t>Number (%) misclassified among matches</w:t>
            </w:r>
          </w:p>
        </w:tc>
        <w:tc>
          <w:tcPr>
            <w:tcW w:w="1350" w:type="dxa"/>
            <w:tcBorders>
              <w:top w:val="nil"/>
            </w:tcBorders>
            <w:vAlign w:val="bottom"/>
          </w:tcPr>
          <w:p w:rsidR="00F54D17" w:rsidRPr="00632BD2" w:rsidRDefault="00F54D17" w:rsidP="001F35A7">
            <w:pPr>
              <w:jc w:val="center"/>
              <w:rPr>
                <w:b/>
                <w:sz w:val="18"/>
                <w:szCs w:val="18"/>
              </w:rPr>
            </w:pPr>
            <w:r w:rsidRPr="00632BD2">
              <w:rPr>
                <w:b/>
                <w:sz w:val="18"/>
                <w:szCs w:val="18"/>
              </w:rPr>
              <w:t>Percent of misclassified coded as White</w:t>
            </w:r>
          </w:p>
        </w:tc>
        <w:tc>
          <w:tcPr>
            <w:tcW w:w="1350" w:type="dxa"/>
            <w:tcBorders>
              <w:top w:val="nil"/>
            </w:tcBorders>
            <w:vAlign w:val="bottom"/>
          </w:tcPr>
          <w:p w:rsidR="00F54D17" w:rsidRPr="00632BD2" w:rsidRDefault="00F54D17" w:rsidP="001F35A7">
            <w:pPr>
              <w:jc w:val="center"/>
              <w:rPr>
                <w:b/>
                <w:sz w:val="18"/>
                <w:szCs w:val="18"/>
              </w:rPr>
            </w:pPr>
            <w:r w:rsidRPr="00632BD2">
              <w:rPr>
                <w:b/>
                <w:sz w:val="18"/>
                <w:szCs w:val="18"/>
              </w:rPr>
              <w:t>Percent of misclassified with unknown or missing race</w:t>
            </w:r>
          </w:p>
        </w:tc>
        <w:tc>
          <w:tcPr>
            <w:tcW w:w="990" w:type="dxa"/>
            <w:tcBorders>
              <w:top w:val="nil"/>
            </w:tcBorders>
            <w:vAlign w:val="bottom"/>
          </w:tcPr>
          <w:p w:rsidR="00F54D17" w:rsidRPr="00632BD2" w:rsidRDefault="00F54D17" w:rsidP="001F35A7">
            <w:pPr>
              <w:jc w:val="center"/>
              <w:rPr>
                <w:b/>
                <w:sz w:val="18"/>
                <w:szCs w:val="18"/>
              </w:rPr>
            </w:pPr>
            <w:r w:rsidRPr="00632BD2">
              <w:rPr>
                <w:b/>
                <w:sz w:val="18"/>
                <w:szCs w:val="18"/>
              </w:rPr>
              <w:t>AI/AN in database prior to linkage</w:t>
            </w:r>
          </w:p>
        </w:tc>
        <w:tc>
          <w:tcPr>
            <w:tcW w:w="990" w:type="dxa"/>
            <w:tcBorders>
              <w:top w:val="nil"/>
            </w:tcBorders>
            <w:vAlign w:val="bottom"/>
          </w:tcPr>
          <w:p w:rsidR="00F54D17" w:rsidRPr="00632BD2" w:rsidRDefault="00F54D17" w:rsidP="001F35A7">
            <w:pPr>
              <w:jc w:val="center"/>
              <w:rPr>
                <w:b/>
                <w:sz w:val="18"/>
                <w:szCs w:val="18"/>
              </w:rPr>
            </w:pPr>
            <w:r w:rsidRPr="00632BD2">
              <w:rPr>
                <w:b/>
                <w:sz w:val="18"/>
                <w:szCs w:val="18"/>
              </w:rPr>
              <w:t>AI/AN in database after linkage</w:t>
            </w:r>
          </w:p>
        </w:tc>
        <w:tc>
          <w:tcPr>
            <w:tcW w:w="990" w:type="dxa"/>
            <w:tcBorders>
              <w:top w:val="nil"/>
            </w:tcBorders>
            <w:vAlign w:val="bottom"/>
          </w:tcPr>
          <w:p w:rsidR="00F54D17" w:rsidRPr="00632BD2" w:rsidRDefault="00F54D17" w:rsidP="001F35A7">
            <w:pPr>
              <w:jc w:val="center"/>
              <w:rPr>
                <w:b/>
                <w:sz w:val="18"/>
                <w:szCs w:val="18"/>
              </w:rPr>
            </w:pPr>
            <w:r w:rsidRPr="00632BD2">
              <w:rPr>
                <w:b/>
                <w:sz w:val="18"/>
                <w:szCs w:val="18"/>
              </w:rPr>
              <w:t>Percent increased ascertain</w:t>
            </w:r>
            <w:r w:rsidR="001F35A7" w:rsidRPr="00632BD2">
              <w:rPr>
                <w:b/>
                <w:sz w:val="18"/>
                <w:szCs w:val="18"/>
              </w:rPr>
              <w:t>-</w:t>
            </w:r>
            <w:proofErr w:type="spellStart"/>
            <w:r w:rsidRPr="00632BD2">
              <w:rPr>
                <w:b/>
                <w:sz w:val="18"/>
                <w:szCs w:val="18"/>
              </w:rPr>
              <w:t>ment</w:t>
            </w:r>
            <w:proofErr w:type="spellEnd"/>
            <w:r w:rsidRPr="00632BD2">
              <w:rPr>
                <w:b/>
                <w:sz w:val="18"/>
                <w:szCs w:val="18"/>
              </w:rPr>
              <w:t xml:space="preserve"> of AI/AN</w:t>
            </w:r>
          </w:p>
        </w:tc>
        <w:tc>
          <w:tcPr>
            <w:tcW w:w="1617" w:type="dxa"/>
            <w:tcBorders>
              <w:top w:val="nil"/>
              <w:right w:val="nil"/>
            </w:tcBorders>
            <w:vAlign w:val="bottom"/>
          </w:tcPr>
          <w:p w:rsidR="00F54D17" w:rsidRPr="00632BD2" w:rsidRDefault="00F54D17" w:rsidP="001F35A7">
            <w:pPr>
              <w:jc w:val="center"/>
              <w:rPr>
                <w:b/>
                <w:sz w:val="18"/>
                <w:szCs w:val="18"/>
              </w:rPr>
            </w:pPr>
            <w:r w:rsidRPr="00632BD2">
              <w:rPr>
                <w:b/>
                <w:sz w:val="18"/>
                <w:szCs w:val="18"/>
              </w:rPr>
              <w:t>Misclassification prevalence among all post-linkage AI/AN</w:t>
            </w:r>
          </w:p>
        </w:tc>
      </w:tr>
      <w:tr w:rsidR="00F54D17" w:rsidRPr="001F35A7" w:rsidTr="004A6A38">
        <w:trPr>
          <w:trHeight w:val="288"/>
          <w:jc w:val="center"/>
        </w:trPr>
        <w:tc>
          <w:tcPr>
            <w:tcW w:w="15211" w:type="dxa"/>
            <w:gridSpan w:val="11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:rsidR="00F54D17" w:rsidRPr="00C71801" w:rsidRDefault="00F54D17" w:rsidP="001F35A7">
            <w:pPr>
              <w:rPr>
                <w:b/>
                <w:sz w:val="18"/>
                <w:szCs w:val="18"/>
              </w:rPr>
            </w:pPr>
            <w:r w:rsidRPr="00C71801">
              <w:rPr>
                <w:b/>
                <w:sz w:val="18"/>
                <w:szCs w:val="18"/>
              </w:rPr>
              <w:t>Idaho</w:t>
            </w:r>
          </w:p>
        </w:tc>
      </w:tr>
      <w:tr w:rsidR="00C71801" w:rsidRPr="001F35A7" w:rsidTr="004A6A38">
        <w:trPr>
          <w:trHeight w:val="288"/>
          <w:jc w:val="center"/>
        </w:trPr>
        <w:tc>
          <w:tcPr>
            <w:tcW w:w="3514" w:type="dxa"/>
            <w:tcBorders>
              <w:left w:val="nil"/>
            </w:tcBorders>
            <w:vAlign w:val="center"/>
          </w:tcPr>
          <w:p w:rsidR="00F54D17" w:rsidRPr="001F35A7" w:rsidRDefault="00F54D17" w:rsidP="001F35A7">
            <w:pPr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Cancer registry</w:t>
            </w:r>
            <w:r w:rsidR="00C71801" w:rsidRPr="00C71801">
              <w:rPr>
                <w:sz w:val="18"/>
                <w:szCs w:val="18"/>
                <w:vertAlign w:val="superscript"/>
              </w:rPr>
              <w:t>1</w:t>
            </w:r>
            <w:r w:rsidR="00C71801">
              <w:rPr>
                <w:sz w:val="18"/>
                <w:szCs w:val="18"/>
              </w:rPr>
              <w:t>,</w:t>
            </w:r>
            <w:r w:rsidRPr="001F35A7">
              <w:rPr>
                <w:sz w:val="18"/>
                <w:szCs w:val="18"/>
              </w:rPr>
              <w:t xml:space="preserve"> 1992-2009</w:t>
            </w:r>
          </w:p>
        </w:tc>
        <w:tc>
          <w:tcPr>
            <w:tcW w:w="1170" w:type="dxa"/>
            <w:vAlign w:val="center"/>
          </w:tcPr>
          <w:p w:rsidR="00F54D17" w:rsidRPr="001F35A7" w:rsidRDefault="00F54D17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5/25/2011</w:t>
            </w:r>
          </w:p>
        </w:tc>
        <w:tc>
          <w:tcPr>
            <w:tcW w:w="990" w:type="dxa"/>
            <w:vAlign w:val="center"/>
          </w:tcPr>
          <w:p w:rsidR="00F54D17" w:rsidRPr="001F35A7" w:rsidRDefault="00F54D17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111,043</w:t>
            </w:r>
          </w:p>
        </w:tc>
        <w:tc>
          <w:tcPr>
            <w:tcW w:w="990" w:type="dxa"/>
            <w:vAlign w:val="center"/>
          </w:tcPr>
          <w:p w:rsidR="00F54D17" w:rsidRPr="001F35A7" w:rsidRDefault="00F54D17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260" w:type="dxa"/>
            <w:vAlign w:val="center"/>
          </w:tcPr>
          <w:p w:rsidR="00F54D17" w:rsidRPr="001F35A7" w:rsidRDefault="00F54D17" w:rsidP="001F35A7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203 (39.0%)</w:t>
            </w:r>
          </w:p>
        </w:tc>
        <w:tc>
          <w:tcPr>
            <w:tcW w:w="1350" w:type="dxa"/>
            <w:vAlign w:val="center"/>
          </w:tcPr>
          <w:p w:rsidR="00F54D17" w:rsidRPr="001F35A7" w:rsidRDefault="00F54D17" w:rsidP="001F35A7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97.0%</w:t>
            </w:r>
          </w:p>
        </w:tc>
        <w:tc>
          <w:tcPr>
            <w:tcW w:w="1350" w:type="dxa"/>
            <w:vAlign w:val="center"/>
          </w:tcPr>
          <w:p w:rsidR="00F54D17" w:rsidRPr="001F35A7" w:rsidRDefault="00F54D17" w:rsidP="001F35A7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2.0%</w:t>
            </w:r>
          </w:p>
        </w:tc>
        <w:tc>
          <w:tcPr>
            <w:tcW w:w="990" w:type="dxa"/>
            <w:vAlign w:val="center"/>
          </w:tcPr>
          <w:p w:rsidR="00F54D17" w:rsidRPr="001F35A7" w:rsidRDefault="00F54D17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990" w:type="dxa"/>
            <w:vAlign w:val="center"/>
          </w:tcPr>
          <w:p w:rsidR="00F54D17" w:rsidRPr="001F35A7" w:rsidRDefault="00F54D17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990" w:type="dxa"/>
            <w:vAlign w:val="center"/>
          </w:tcPr>
          <w:p w:rsidR="00F54D17" w:rsidRPr="001F35A7" w:rsidRDefault="00F54D17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44.7%</w:t>
            </w:r>
          </w:p>
        </w:tc>
        <w:tc>
          <w:tcPr>
            <w:tcW w:w="1617" w:type="dxa"/>
            <w:tcBorders>
              <w:right w:val="nil"/>
            </w:tcBorders>
            <w:vAlign w:val="center"/>
          </w:tcPr>
          <w:p w:rsidR="00F54D17" w:rsidRPr="00814085" w:rsidRDefault="00F54D17" w:rsidP="001F35A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1408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30.9%</w:t>
            </w:r>
          </w:p>
        </w:tc>
      </w:tr>
      <w:tr w:rsidR="00C71801" w:rsidRPr="001F35A7" w:rsidTr="004A6A38">
        <w:trPr>
          <w:trHeight w:val="288"/>
          <w:jc w:val="center"/>
        </w:trPr>
        <w:tc>
          <w:tcPr>
            <w:tcW w:w="3514" w:type="dxa"/>
            <w:tcBorders>
              <w:left w:val="nil"/>
            </w:tcBorders>
            <w:vAlign w:val="center"/>
          </w:tcPr>
          <w:p w:rsidR="00F54D17" w:rsidRPr="001F35A7" w:rsidRDefault="00F54D17" w:rsidP="001F35A7">
            <w:pPr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Births, 2006-2010</w:t>
            </w:r>
          </w:p>
        </w:tc>
        <w:tc>
          <w:tcPr>
            <w:tcW w:w="1170" w:type="dxa"/>
            <w:vAlign w:val="center"/>
          </w:tcPr>
          <w:p w:rsidR="00F54D17" w:rsidRPr="001F35A7" w:rsidRDefault="00F54D17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2/9/2012</w:t>
            </w:r>
          </w:p>
        </w:tc>
        <w:tc>
          <w:tcPr>
            <w:tcW w:w="990" w:type="dxa"/>
            <w:vAlign w:val="center"/>
          </w:tcPr>
          <w:p w:rsidR="00F54D17" w:rsidRPr="001F35A7" w:rsidRDefault="00F54D17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117,473</w:t>
            </w:r>
          </w:p>
        </w:tc>
        <w:tc>
          <w:tcPr>
            <w:tcW w:w="990" w:type="dxa"/>
            <w:vAlign w:val="center"/>
          </w:tcPr>
          <w:p w:rsidR="00F54D17" w:rsidRPr="001F35A7" w:rsidRDefault="00F54D17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1,142</w:t>
            </w:r>
          </w:p>
        </w:tc>
        <w:tc>
          <w:tcPr>
            <w:tcW w:w="1260" w:type="dxa"/>
            <w:vAlign w:val="center"/>
          </w:tcPr>
          <w:p w:rsidR="00F54D17" w:rsidRPr="001F35A7" w:rsidRDefault="00F54D17" w:rsidP="001F35A7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217 (19.0%)</w:t>
            </w:r>
          </w:p>
        </w:tc>
        <w:tc>
          <w:tcPr>
            <w:tcW w:w="1350" w:type="dxa"/>
            <w:vAlign w:val="center"/>
          </w:tcPr>
          <w:p w:rsidR="00F54D17" w:rsidRPr="001F35A7" w:rsidRDefault="00F54D17" w:rsidP="001F35A7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92.2%</w:t>
            </w:r>
          </w:p>
        </w:tc>
        <w:tc>
          <w:tcPr>
            <w:tcW w:w="1350" w:type="dxa"/>
            <w:vAlign w:val="center"/>
          </w:tcPr>
          <w:p w:rsidR="00F54D17" w:rsidRPr="001F35A7" w:rsidRDefault="00F54D17" w:rsidP="001F35A7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0%</w:t>
            </w:r>
          </w:p>
        </w:tc>
        <w:tc>
          <w:tcPr>
            <w:tcW w:w="990" w:type="dxa"/>
            <w:vAlign w:val="center"/>
          </w:tcPr>
          <w:p w:rsidR="00F54D17" w:rsidRPr="001F35A7" w:rsidRDefault="00F54D17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2,456</w:t>
            </w:r>
          </w:p>
        </w:tc>
        <w:tc>
          <w:tcPr>
            <w:tcW w:w="990" w:type="dxa"/>
            <w:vAlign w:val="center"/>
          </w:tcPr>
          <w:p w:rsidR="00F54D17" w:rsidRPr="001F35A7" w:rsidRDefault="00F54D17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2,673</w:t>
            </w:r>
          </w:p>
        </w:tc>
        <w:tc>
          <w:tcPr>
            <w:tcW w:w="990" w:type="dxa"/>
            <w:vAlign w:val="center"/>
          </w:tcPr>
          <w:p w:rsidR="00F54D17" w:rsidRPr="001F35A7" w:rsidRDefault="00F54D17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8.8%</w:t>
            </w:r>
          </w:p>
        </w:tc>
        <w:tc>
          <w:tcPr>
            <w:tcW w:w="1617" w:type="dxa"/>
            <w:tcBorders>
              <w:right w:val="nil"/>
            </w:tcBorders>
            <w:vAlign w:val="center"/>
          </w:tcPr>
          <w:p w:rsidR="00F54D17" w:rsidRPr="00814085" w:rsidRDefault="00F54D17" w:rsidP="001F35A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1408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8.1%</w:t>
            </w:r>
          </w:p>
        </w:tc>
      </w:tr>
      <w:tr w:rsidR="00C71801" w:rsidRPr="001F35A7" w:rsidTr="004A6A38">
        <w:trPr>
          <w:trHeight w:val="288"/>
          <w:jc w:val="center"/>
        </w:trPr>
        <w:tc>
          <w:tcPr>
            <w:tcW w:w="3514" w:type="dxa"/>
            <w:tcBorders>
              <w:left w:val="nil"/>
            </w:tcBorders>
            <w:vAlign w:val="center"/>
          </w:tcPr>
          <w:p w:rsidR="00F54D17" w:rsidRPr="001F35A7" w:rsidRDefault="00F54D17" w:rsidP="001F35A7">
            <w:pPr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Deaths, 2006-2010</w:t>
            </w:r>
          </w:p>
        </w:tc>
        <w:tc>
          <w:tcPr>
            <w:tcW w:w="1170" w:type="dxa"/>
            <w:vAlign w:val="center"/>
          </w:tcPr>
          <w:p w:rsidR="00F54D17" w:rsidRPr="001F35A7" w:rsidRDefault="00F54D17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2/9/2012</w:t>
            </w:r>
          </w:p>
        </w:tc>
        <w:tc>
          <w:tcPr>
            <w:tcW w:w="990" w:type="dxa"/>
            <w:vAlign w:val="center"/>
          </w:tcPr>
          <w:p w:rsidR="00F54D17" w:rsidRPr="001F35A7" w:rsidRDefault="00F54D17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52,002</w:t>
            </w:r>
          </w:p>
        </w:tc>
        <w:tc>
          <w:tcPr>
            <w:tcW w:w="990" w:type="dxa"/>
            <w:vAlign w:val="center"/>
          </w:tcPr>
          <w:p w:rsidR="00F54D17" w:rsidRPr="001F35A7" w:rsidRDefault="00F54D17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1260" w:type="dxa"/>
            <w:vAlign w:val="center"/>
          </w:tcPr>
          <w:p w:rsidR="00F54D17" w:rsidRPr="001F35A7" w:rsidRDefault="00F54D17" w:rsidP="001F35A7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59 (12.8%)</w:t>
            </w:r>
          </w:p>
        </w:tc>
        <w:tc>
          <w:tcPr>
            <w:tcW w:w="1350" w:type="dxa"/>
            <w:vAlign w:val="center"/>
          </w:tcPr>
          <w:p w:rsidR="00F54D17" w:rsidRPr="001F35A7" w:rsidRDefault="00F54D17" w:rsidP="001F35A7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94.9%</w:t>
            </w:r>
          </w:p>
        </w:tc>
        <w:tc>
          <w:tcPr>
            <w:tcW w:w="1350" w:type="dxa"/>
            <w:vAlign w:val="center"/>
          </w:tcPr>
          <w:p w:rsidR="00F54D17" w:rsidRPr="001F35A7" w:rsidRDefault="00F54D17" w:rsidP="001F35A7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3.4%</w:t>
            </w:r>
          </w:p>
        </w:tc>
        <w:tc>
          <w:tcPr>
            <w:tcW w:w="990" w:type="dxa"/>
            <w:vAlign w:val="center"/>
          </w:tcPr>
          <w:p w:rsidR="00F54D17" w:rsidRPr="001F35A7" w:rsidRDefault="00F54D17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990" w:type="dxa"/>
            <w:vAlign w:val="center"/>
          </w:tcPr>
          <w:p w:rsidR="00F54D17" w:rsidRPr="001F35A7" w:rsidRDefault="00F54D17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708</w:t>
            </w:r>
          </w:p>
        </w:tc>
        <w:tc>
          <w:tcPr>
            <w:tcW w:w="990" w:type="dxa"/>
            <w:vAlign w:val="center"/>
          </w:tcPr>
          <w:p w:rsidR="00F54D17" w:rsidRPr="001F35A7" w:rsidRDefault="00F54D17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17.6%</w:t>
            </w:r>
          </w:p>
        </w:tc>
        <w:tc>
          <w:tcPr>
            <w:tcW w:w="1617" w:type="dxa"/>
            <w:tcBorders>
              <w:right w:val="nil"/>
            </w:tcBorders>
            <w:vAlign w:val="center"/>
          </w:tcPr>
          <w:p w:rsidR="00F54D17" w:rsidRPr="00814085" w:rsidRDefault="00F54D17" w:rsidP="001F35A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1408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8.3%</w:t>
            </w:r>
          </w:p>
        </w:tc>
      </w:tr>
      <w:tr w:rsidR="00F54D17" w:rsidRPr="001F35A7" w:rsidTr="004A6A38">
        <w:trPr>
          <w:trHeight w:val="288"/>
          <w:jc w:val="center"/>
        </w:trPr>
        <w:tc>
          <w:tcPr>
            <w:tcW w:w="15211" w:type="dxa"/>
            <w:gridSpan w:val="11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:rsidR="00F54D17" w:rsidRPr="00C71801" w:rsidRDefault="00F54D17" w:rsidP="001F35A7">
            <w:pPr>
              <w:rPr>
                <w:b/>
                <w:sz w:val="18"/>
                <w:szCs w:val="18"/>
              </w:rPr>
            </w:pPr>
            <w:r w:rsidRPr="00C71801">
              <w:rPr>
                <w:b/>
                <w:sz w:val="18"/>
                <w:szCs w:val="18"/>
              </w:rPr>
              <w:t>Oregon</w:t>
            </w:r>
          </w:p>
        </w:tc>
      </w:tr>
      <w:tr w:rsidR="00C71801" w:rsidRPr="001F35A7" w:rsidTr="004A6A38">
        <w:trPr>
          <w:trHeight w:val="288"/>
          <w:jc w:val="center"/>
        </w:trPr>
        <w:tc>
          <w:tcPr>
            <w:tcW w:w="3514" w:type="dxa"/>
            <w:tcBorders>
              <w:left w:val="nil"/>
            </w:tcBorders>
            <w:vAlign w:val="center"/>
          </w:tcPr>
          <w:p w:rsidR="001F0638" w:rsidRPr="001F35A7" w:rsidRDefault="001F0638" w:rsidP="001F35A7">
            <w:pPr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STD/HIV, 2000-2009</w:t>
            </w:r>
          </w:p>
        </w:tc>
        <w:tc>
          <w:tcPr>
            <w:tcW w:w="1170" w:type="dxa"/>
            <w:vAlign w:val="center"/>
          </w:tcPr>
          <w:p w:rsidR="001F0638" w:rsidRPr="001F35A7" w:rsidRDefault="001F0638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11/5/2010</w:t>
            </w:r>
          </w:p>
        </w:tc>
        <w:tc>
          <w:tcPr>
            <w:tcW w:w="990" w:type="dxa"/>
            <w:vAlign w:val="center"/>
          </w:tcPr>
          <w:p w:rsidR="001F0638" w:rsidRPr="001F35A7" w:rsidRDefault="001F0638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179,367</w:t>
            </w:r>
          </w:p>
        </w:tc>
        <w:tc>
          <w:tcPr>
            <w:tcW w:w="990" w:type="dxa"/>
            <w:vAlign w:val="center"/>
          </w:tcPr>
          <w:p w:rsidR="001F0638" w:rsidRPr="001F35A7" w:rsidRDefault="001F0638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2,019</w:t>
            </w:r>
          </w:p>
        </w:tc>
        <w:tc>
          <w:tcPr>
            <w:tcW w:w="1260" w:type="dxa"/>
            <w:vAlign w:val="center"/>
          </w:tcPr>
          <w:p w:rsidR="001F0638" w:rsidRPr="001F35A7" w:rsidRDefault="001F0638" w:rsidP="001F35A7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959 (47.5%)</w:t>
            </w:r>
          </w:p>
        </w:tc>
        <w:tc>
          <w:tcPr>
            <w:tcW w:w="1350" w:type="dxa"/>
            <w:vAlign w:val="center"/>
          </w:tcPr>
          <w:p w:rsidR="001F0638" w:rsidRPr="001F35A7" w:rsidRDefault="001F0638" w:rsidP="001F35A7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70.2%</w:t>
            </w:r>
          </w:p>
        </w:tc>
        <w:tc>
          <w:tcPr>
            <w:tcW w:w="1350" w:type="dxa"/>
            <w:vAlign w:val="center"/>
          </w:tcPr>
          <w:p w:rsidR="001F0638" w:rsidRPr="001F35A7" w:rsidRDefault="001F0638" w:rsidP="001F35A7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20.5%</w:t>
            </w:r>
          </w:p>
        </w:tc>
        <w:tc>
          <w:tcPr>
            <w:tcW w:w="990" w:type="dxa"/>
            <w:vAlign w:val="center"/>
          </w:tcPr>
          <w:p w:rsidR="001F0638" w:rsidRPr="001F35A7" w:rsidRDefault="001F0638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2,007</w:t>
            </w:r>
          </w:p>
        </w:tc>
        <w:tc>
          <w:tcPr>
            <w:tcW w:w="990" w:type="dxa"/>
            <w:vAlign w:val="center"/>
          </w:tcPr>
          <w:p w:rsidR="001F0638" w:rsidRPr="001F35A7" w:rsidRDefault="001F0638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2,966</w:t>
            </w:r>
          </w:p>
        </w:tc>
        <w:tc>
          <w:tcPr>
            <w:tcW w:w="990" w:type="dxa"/>
            <w:vAlign w:val="center"/>
          </w:tcPr>
          <w:p w:rsidR="001F0638" w:rsidRPr="001F35A7" w:rsidRDefault="001F0638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47.8%</w:t>
            </w:r>
          </w:p>
        </w:tc>
        <w:tc>
          <w:tcPr>
            <w:tcW w:w="1617" w:type="dxa"/>
            <w:tcBorders>
              <w:right w:val="nil"/>
            </w:tcBorders>
            <w:vAlign w:val="center"/>
          </w:tcPr>
          <w:p w:rsidR="001F0638" w:rsidRPr="00814085" w:rsidRDefault="001F0638" w:rsidP="001F35A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1408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32.3%</w:t>
            </w:r>
          </w:p>
        </w:tc>
      </w:tr>
      <w:tr w:rsidR="00C71801" w:rsidRPr="001F35A7" w:rsidTr="004A6A38">
        <w:trPr>
          <w:trHeight w:val="288"/>
          <w:jc w:val="center"/>
        </w:trPr>
        <w:tc>
          <w:tcPr>
            <w:tcW w:w="3514" w:type="dxa"/>
            <w:tcBorders>
              <w:left w:val="nil"/>
            </w:tcBorders>
            <w:vAlign w:val="center"/>
          </w:tcPr>
          <w:p w:rsidR="00C71801" w:rsidRPr="001F35A7" w:rsidRDefault="00C71801" w:rsidP="00C71801">
            <w:pPr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Medicaid</w:t>
            </w:r>
            <w:r w:rsidRPr="00C71801">
              <w:rPr>
                <w:sz w:val="18"/>
                <w:szCs w:val="18"/>
                <w:vertAlign w:val="superscript"/>
              </w:rPr>
              <w:t>2</w:t>
            </w:r>
            <w:r w:rsidRPr="001F35A7">
              <w:rPr>
                <w:sz w:val="18"/>
                <w:szCs w:val="18"/>
              </w:rPr>
              <w:t>, all medical clients since 1/1/2002</w:t>
            </w:r>
          </w:p>
        </w:tc>
        <w:tc>
          <w:tcPr>
            <w:tcW w:w="1170" w:type="dxa"/>
            <w:vAlign w:val="center"/>
          </w:tcPr>
          <w:p w:rsidR="00C71801" w:rsidRPr="001F35A7" w:rsidRDefault="00C71801" w:rsidP="00C71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9/2011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C71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C71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14,513</w:t>
            </w:r>
          </w:p>
        </w:tc>
        <w:tc>
          <w:tcPr>
            <w:tcW w:w="1260" w:type="dxa"/>
            <w:vAlign w:val="center"/>
          </w:tcPr>
          <w:p w:rsidR="00C71801" w:rsidRPr="001F35A7" w:rsidRDefault="00C71801" w:rsidP="00C71801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8,032 (55.3%)</w:t>
            </w:r>
          </w:p>
        </w:tc>
        <w:tc>
          <w:tcPr>
            <w:tcW w:w="1350" w:type="dxa"/>
            <w:vAlign w:val="center"/>
          </w:tcPr>
          <w:p w:rsidR="00C71801" w:rsidRPr="001F35A7" w:rsidRDefault="00C71801" w:rsidP="00C71801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15.0%</w:t>
            </w:r>
          </w:p>
        </w:tc>
        <w:tc>
          <w:tcPr>
            <w:tcW w:w="1350" w:type="dxa"/>
            <w:vAlign w:val="center"/>
          </w:tcPr>
          <w:p w:rsidR="00C71801" w:rsidRPr="001F35A7" w:rsidRDefault="00C71801" w:rsidP="00C71801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10.1%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C71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10,782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C71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18,814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C71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74.5%</w:t>
            </w:r>
          </w:p>
        </w:tc>
        <w:tc>
          <w:tcPr>
            <w:tcW w:w="1617" w:type="dxa"/>
            <w:tcBorders>
              <w:right w:val="nil"/>
            </w:tcBorders>
            <w:vAlign w:val="center"/>
          </w:tcPr>
          <w:p w:rsidR="00C71801" w:rsidRPr="00814085" w:rsidRDefault="00C71801" w:rsidP="00C7180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1408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42.7%</w:t>
            </w:r>
          </w:p>
        </w:tc>
      </w:tr>
      <w:tr w:rsidR="00C71801" w:rsidRPr="001F35A7" w:rsidTr="004A6A38">
        <w:trPr>
          <w:trHeight w:val="288"/>
          <w:jc w:val="center"/>
        </w:trPr>
        <w:tc>
          <w:tcPr>
            <w:tcW w:w="3514" w:type="dxa"/>
            <w:tcBorders>
              <w:left w:val="nil"/>
            </w:tcBorders>
            <w:vAlign w:val="center"/>
          </w:tcPr>
          <w:p w:rsidR="00C71801" w:rsidRPr="001F35A7" w:rsidRDefault="00C71801" w:rsidP="00C71801">
            <w:pPr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Cancer registry</w:t>
            </w:r>
            <w:r w:rsidRPr="00C71801">
              <w:rPr>
                <w:sz w:val="18"/>
                <w:szCs w:val="18"/>
                <w:vertAlign w:val="superscript"/>
              </w:rPr>
              <w:t>3</w:t>
            </w:r>
            <w:r w:rsidRPr="001F35A7">
              <w:rPr>
                <w:sz w:val="18"/>
                <w:szCs w:val="18"/>
              </w:rPr>
              <w:t>, 2009-2010</w:t>
            </w:r>
          </w:p>
        </w:tc>
        <w:tc>
          <w:tcPr>
            <w:tcW w:w="1170" w:type="dxa"/>
            <w:vAlign w:val="center"/>
          </w:tcPr>
          <w:p w:rsidR="00C71801" w:rsidRPr="001F35A7" w:rsidRDefault="00C71801" w:rsidP="00C71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9/28/2011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C71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36,307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C71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260" w:type="dxa"/>
            <w:vAlign w:val="center"/>
          </w:tcPr>
          <w:p w:rsidR="00C71801" w:rsidRPr="001F35A7" w:rsidRDefault="00C71801" w:rsidP="00C71801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94 (47.2%)</w:t>
            </w:r>
          </w:p>
        </w:tc>
        <w:tc>
          <w:tcPr>
            <w:tcW w:w="1350" w:type="dxa"/>
            <w:vAlign w:val="center"/>
          </w:tcPr>
          <w:p w:rsidR="00C71801" w:rsidRPr="001F35A7" w:rsidRDefault="00C71801" w:rsidP="00C71801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92.6%</w:t>
            </w:r>
          </w:p>
        </w:tc>
        <w:tc>
          <w:tcPr>
            <w:tcW w:w="1350" w:type="dxa"/>
            <w:vAlign w:val="center"/>
          </w:tcPr>
          <w:p w:rsidR="00C71801" w:rsidRPr="001F35A7" w:rsidRDefault="00C71801" w:rsidP="00C71801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7.4%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C71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C71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C71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39.3%</w:t>
            </w:r>
          </w:p>
        </w:tc>
        <w:tc>
          <w:tcPr>
            <w:tcW w:w="1617" w:type="dxa"/>
            <w:tcBorders>
              <w:right w:val="nil"/>
            </w:tcBorders>
            <w:vAlign w:val="center"/>
          </w:tcPr>
          <w:p w:rsidR="00C71801" w:rsidRPr="00814085" w:rsidRDefault="00C71801" w:rsidP="00C7180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1408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28.2%</w:t>
            </w:r>
          </w:p>
        </w:tc>
      </w:tr>
      <w:tr w:rsidR="00C71801" w:rsidRPr="001F35A7" w:rsidTr="004A6A38">
        <w:trPr>
          <w:trHeight w:val="288"/>
          <w:jc w:val="center"/>
        </w:trPr>
        <w:tc>
          <w:tcPr>
            <w:tcW w:w="3514" w:type="dxa"/>
            <w:tcBorders>
              <w:left w:val="nil"/>
            </w:tcBorders>
            <w:vAlign w:val="center"/>
          </w:tcPr>
          <w:p w:rsidR="00C71801" w:rsidRPr="001F35A7" w:rsidRDefault="00C71801" w:rsidP="00C71801">
            <w:pPr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Births</w:t>
            </w:r>
            <w:r w:rsidRPr="00C71801">
              <w:rPr>
                <w:sz w:val="18"/>
                <w:szCs w:val="18"/>
                <w:vertAlign w:val="superscript"/>
              </w:rPr>
              <w:t>4</w:t>
            </w:r>
            <w:r w:rsidRPr="001F35A7">
              <w:rPr>
                <w:sz w:val="18"/>
                <w:szCs w:val="18"/>
              </w:rPr>
              <w:t>, 2006-2010</w:t>
            </w:r>
          </w:p>
        </w:tc>
        <w:tc>
          <w:tcPr>
            <w:tcW w:w="1170" w:type="dxa"/>
            <w:vAlign w:val="center"/>
          </w:tcPr>
          <w:p w:rsidR="00C71801" w:rsidRPr="001F35A7" w:rsidRDefault="00C71801" w:rsidP="00C71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10/6/2011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C71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242,039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C71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3,226</w:t>
            </w:r>
          </w:p>
        </w:tc>
        <w:tc>
          <w:tcPr>
            <w:tcW w:w="1260" w:type="dxa"/>
            <w:vAlign w:val="center"/>
          </w:tcPr>
          <w:p w:rsidR="00C71801" w:rsidRPr="001F35A7" w:rsidRDefault="00C71801" w:rsidP="00C71801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856 (26.5%)</w:t>
            </w:r>
          </w:p>
        </w:tc>
        <w:tc>
          <w:tcPr>
            <w:tcW w:w="1350" w:type="dxa"/>
            <w:vAlign w:val="center"/>
          </w:tcPr>
          <w:p w:rsidR="00C71801" w:rsidRPr="001F35A7" w:rsidRDefault="00C71801" w:rsidP="00C71801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91.5%</w:t>
            </w:r>
          </w:p>
        </w:tc>
        <w:tc>
          <w:tcPr>
            <w:tcW w:w="1350" w:type="dxa"/>
            <w:vAlign w:val="center"/>
          </w:tcPr>
          <w:p w:rsidR="00C71801" w:rsidRPr="001F35A7" w:rsidRDefault="00C71801" w:rsidP="00C71801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0.2%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C71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6,003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C71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6,859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C71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14.3%</w:t>
            </w:r>
          </w:p>
        </w:tc>
        <w:tc>
          <w:tcPr>
            <w:tcW w:w="1617" w:type="dxa"/>
            <w:tcBorders>
              <w:right w:val="nil"/>
            </w:tcBorders>
            <w:vAlign w:val="center"/>
          </w:tcPr>
          <w:p w:rsidR="00C71801" w:rsidRPr="00814085" w:rsidRDefault="00C71801" w:rsidP="00C7180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1408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12.5%</w:t>
            </w:r>
          </w:p>
        </w:tc>
      </w:tr>
      <w:tr w:rsidR="00C71801" w:rsidRPr="001F35A7" w:rsidTr="004A6A38">
        <w:trPr>
          <w:trHeight w:val="288"/>
          <w:jc w:val="center"/>
        </w:trPr>
        <w:tc>
          <w:tcPr>
            <w:tcW w:w="3514" w:type="dxa"/>
            <w:tcBorders>
              <w:left w:val="nil"/>
            </w:tcBorders>
            <w:vAlign w:val="center"/>
          </w:tcPr>
          <w:p w:rsidR="00C71801" w:rsidRPr="001F35A7" w:rsidRDefault="00C71801" w:rsidP="00C71801">
            <w:pPr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Deaths, 2006-2010</w:t>
            </w:r>
          </w:p>
        </w:tc>
        <w:tc>
          <w:tcPr>
            <w:tcW w:w="1170" w:type="dxa"/>
            <w:vAlign w:val="center"/>
          </w:tcPr>
          <w:p w:rsidR="00C71801" w:rsidRPr="001F35A7" w:rsidRDefault="00C71801" w:rsidP="00C71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10/6/2011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C71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158,075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C71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1,155</w:t>
            </w:r>
          </w:p>
        </w:tc>
        <w:tc>
          <w:tcPr>
            <w:tcW w:w="1260" w:type="dxa"/>
            <w:vAlign w:val="center"/>
          </w:tcPr>
          <w:p w:rsidR="00C71801" w:rsidRPr="001F35A7" w:rsidRDefault="00C71801" w:rsidP="00C71801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457 (39.6%)</w:t>
            </w:r>
          </w:p>
        </w:tc>
        <w:tc>
          <w:tcPr>
            <w:tcW w:w="1350" w:type="dxa"/>
            <w:vAlign w:val="center"/>
          </w:tcPr>
          <w:p w:rsidR="00C71801" w:rsidRPr="001F35A7" w:rsidRDefault="00C71801" w:rsidP="00C71801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43.3%</w:t>
            </w:r>
          </w:p>
        </w:tc>
        <w:tc>
          <w:tcPr>
            <w:tcW w:w="1350" w:type="dxa"/>
            <w:vAlign w:val="center"/>
          </w:tcPr>
          <w:p w:rsidR="00C71801" w:rsidRPr="001F35A7" w:rsidRDefault="00C71801" w:rsidP="00C71801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42.5%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C71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1,426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C71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1,883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C71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32.0%</w:t>
            </w:r>
          </w:p>
        </w:tc>
        <w:tc>
          <w:tcPr>
            <w:tcW w:w="1617" w:type="dxa"/>
            <w:tcBorders>
              <w:right w:val="nil"/>
            </w:tcBorders>
            <w:vAlign w:val="center"/>
          </w:tcPr>
          <w:p w:rsidR="00C71801" w:rsidRPr="00814085" w:rsidRDefault="00C71801" w:rsidP="00C7180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1408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24.3%</w:t>
            </w:r>
          </w:p>
        </w:tc>
      </w:tr>
      <w:tr w:rsidR="00C71801" w:rsidRPr="001F35A7" w:rsidTr="004A6A38">
        <w:trPr>
          <w:trHeight w:val="288"/>
          <w:jc w:val="center"/>
        </w:trPr>
        <w:tc>
          <w:tcPr>
            <w:tcW w:w="3514" w:type="dxa"/>
            <w:tcBorders>
              <w:left w:val="nil"/>
            </w:tcBorders>
            <w:vAlign w:val="center"/>
          </w:tcPr>
          <w:p w:rsidR="00C71801" w:rsidRPr="001F35A7" w:rsidRDefault="00C71801" w:rsidP="00C7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Orpheus</w:t>
            </w:r>
            <w:r w:rsidRPr="00C71801">
              <w:rPr>
                <w:sz w:val="18"/>
                <w:szCs w:val="18"/>
                <w:vertAlign w:val="superscript"/>
              </w:rPr>
              <w:t>5</w:t>
            </w:r>
            <w:r w:rsidRPr="001F35A7">
              <w:rPr>
                <w:sz w:val="18"/>
                <w:szCs w:val="18"/>
              </w:rPr>
              <w:t>, all records as of 10/10/11</w:t>
            </w:r>
          </w:p>
        </w:tc>
        <w:tc>
          <w:tcPr>
            <w:tcW w:w="1170" w:type="dxa"/>
            <w:vAlign w:val="center"/>
          </w:tcPr>
          <w:p w:rsidR="00C71801" w:rsidRPr="001F35A7" w:rsidRDefault="00C71801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10/24/2011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301,345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4,664</w:t>
            </w:r>
          </w:p>
        </w:tc>
        <w:tc>
          <w:tcPr>
            <w:tcW w:w="1260" w:type="dxa"/>
            <w:vAlign w:val="center"/>
          </w:tcPr>
          <w:p w:rsidR="00C71801" w:rsidRPr="001F35A7" w:rsidRDefault="00C71801" w:rsidP="001F35A7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2,771 (59.4%)</w:t>
            </w:r>
          </w:p>
        </w:tc>
        <w:tc>
          <w:tcPr>
            <w:tcW w:w="1350" w:type="dxa"/>
            <w:vAlign w:val="center"/>
          </w:tcPr>
          <w:p w:rsidR="00C71801" w:rsidRPr="001F35A7" w:rsidRDefault="00C71801" w:rsidP="001F35A7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46.1%</w:t>
            </w:r>
          </w:p>
        </w:tc>
        <w:tc>
          <w:tcPr>
            <w:tcW w:w="1350" w:type="dxa"/>
            <w:vAlign w:val="center"/>
          </w:tcPr>
          <w:p w:rsidR="00C71801" w:rsidRPr="001F35A7" w:rsidRDefault="00C71801" w:rsidP="001F35A7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47.6%</w:t>
            </w:r>
          </w:p>
        </w:tc>
        <w:tc>
          <w:tcPr>
            <w:tcW w:w="990" w:type="dxa"/>
            <w:vAlign w:val="center"/>
          </w:tcPr>
          <w:p w:rsidR="00C71801" w:rsidRPr="001F35A7" w:rsidRDefault="004A6A38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90" w:type="dxa"/>
            <w:vAlign w:val="center"/>
          </w:tcPr>
          <w:p w:rsidR="00C71801" w:rsidRPr="001F35A7" w:rsidRDefault="004A6A38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90" w:type="dxa"/>
            <w:vAlign w:val="center"/>
          </w:tcPr>
          <w:p w:rsidR="00C71801" w:rsidRPr="001F35A7" w:rsidRDefault="004A6A38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617" w:type="dxa"/>
            <w:tcBorders>
              <w:right w:val="nil"/>
            </w:tcBorders>
            <w:vAlign w:val="center"/>
          </w:tcPr>
          <w:p w:rsidR="00C71801" w:rsidRPr="001F35A7" w:rsidRDefault="004A6A38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5</w:t>
            </w:r>
          </w:p>
        </w:tc>
      </w:tr>
      <w:tr w:rsidR="00C71801" w:rsidRPr="001F35A7" w:rsidTr="004A6A38">
        <w:trPr>
          <w:trHeight w:val="288"/>
          <w:jc w:val="center"/>
        </w:trPr>
        <w:tc>
          <w:tcPr>
            <w:tcW w:w="3514" w:type="dxa"/>
            <w:tcBorders>
              <w:left w:val="nil"/>
            </w:tcBorders>
            <w:vAlign w:val="center"/>
          </w:tcPr>
          <w:p w:rsidR="00C71801" w:rsidRPr="001F35A7" w:rsidRDefault="00C71801" w:rsidP="001F35A7">
            <w:pPr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Childhood blood lead registry, 2005-2010</w:t>
            </w:r>
          </w:p>
        </w:tc>
        <w:tc>
          <w:tcPr>
            <w:tcW w:w="1170" w:type="dxa"/>
            <w:vAlign w:val="center"/>
          </w:tcPr>
          <w:p w:rsidR="00C71801" w:rsidRPr="001F35A7" w:rsidRDefault="00C71801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7/11/2011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91,836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788</w:t>
            </w:r>
          </w:p>
        </w:tc>
        <w:tc>
          <w:tcPr>
            <w:tcW w:w="1260" w:type="dxa"/>
            <w:vAlign w:val="center"/>
          </w:tcPr>
          <w:p w:rsidR="00C71801" w:rsidRPr="001F35A7" w:rsidRDefault="00C71801" w:rsidP="001F35A7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482 (61.2%)</w:t>
            </w:r>
          </w:p>
        </w:tc>
        <w:tc>
          <w:tcPr>
            <w:tcW w:w="1350" w:type="dxa"/>
            <w:vAlign w:val="center"/>
          </w:tcPr>
          <w:p w:rsidR="00C71801" w:rsidRPr="001F35A7" w:rsidRDefault="00C71801" w:rsidP="001F35A7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14.1%</w:t>
            </w:r>
          </w:p>
        </w:tc>
        <w:tc>
          <w:tcPr>
            <w:tcW w:w="1350" w:type="dxa"/>
            <w:vAlign w:val="center"/>
          </w:tcPr>
          <w:p w:rsidR="00C71801" w:rsidRPr="001F35A7" w:rsidRDefault="00C71801" w:rsidP="001F35A7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84.9%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1,568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2,050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30.7%</w:t>
            </w:r>
          </w:p>
        </w:tc>
        <w:tc>
          <w:tcPr>
            <w:tcW w:w="1617" w:type="dxa"/>
            <w:tcBorders>
              <w:right w:val="nil"/>
            </w:tcBorders>
            <w:vAlign w:val="center"/>
          </w:tcPr>
          <w:p w:rsidR="00C71801" w:rsidRPr="00814085" w:rsidRDefault="00C71801" w:rsidP="001F35A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1408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23.5%</w:t>
            </w:r>
          </w:p>
        </w:tc>
      </w:tr>
      <w:tr w:rsidR="00C71801" w:rsidRPr="001F35A7" w:rsidTr="004A6A38">
        <w:trPr>
          <w:trHeight w:val="288"/>
          <w:jc w:val="center"/>
        </w:trPr>
        <w:tc>
          <w:tcPr>
            <w:tcW w:w="15211" w:type="dxa"/>
            <w:gridSpan w:val="11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:rsidR="00C71801" w:rsidRPr="00C71801" w:rsidRDefault="00C71801" w:rsidP="001F35A7">
            <w:pPr>
              <w:rPr>
                <w:b/>
                <w:sz w:val="18"/>
                <w:szCs w:val="18"/>
              </w:rPr>
            </w:pPr>
            <w:r w:rsidRPr="00C71801">
              <w:rPr>
                <w:b/>
                <w:sz w:val="18"/>
                <w:szCs w:val="18"/>
              </w:rPr>
              <w:t>Washington</w:t>
            </w:r>
          </w:p>
        </w:tc>
      </w:tr>
      <w:tr w:rsidR="00C71801" w:rsidRPr="001F35A7" w:rsidTr="004A6A38">
        <w:trPr>
          <w:trHeight w:val="288"/>
          <w:jc w:val="center"/>
        </w:trPr>
        <w:tc>
          <w:tcPr>
            <w:tcW w:w="3514" w:type="dxa"/>
            <w:tcBorders>
              <w:left w:val="nil"/>
            </w:tcBorders>
            <w:vAlign w:val="center"/>
          </w:tcPr>
          <w:p w:rsidR="00C71801" w:rsidRPr="001F35A7" w:rsidRDefault="00632BD2" w:rsidP="00632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CHARS (h</w:t>
            </w:r>
            <w:r w:rsidR="00C71801" w:rsidRPr="001F35A7">
              <w:rPr>
                <w:sz w:val="18"/>
                <w:szCs w:val="18"/>
              </w:rPr>
              <w:t>ospital discharge</w:t>
            </w:r>
            <w:r>
              <w:rPr>
                <w:sz w:val="18"/>
                <w:szCs w:val="18"/>
              </w:rPr>
              <w:t>)</w:t>
            </w:r>
            <w:r w:rsidRPr="00632BD2">
              <w:rPr>
                <w:sz w:val="18"/>
                <w:szCs w:val="18"/>
                <w:vertAlign w:val="superscript"/>
              </w:rPr>
              <w:t>6</w:t>
            </w:r>
            <w:r w:rsidR="00C71801" w:rsidRPr="001F35A7">
              <w:rPr>
                <w:sz w:val="18"/>
                <w:szCs w:val="18"/>
              </w:rPr>
              <w:t>, 2010</w:t>
            </w:r>
          </w:p>
        </w:tc>
        <w:tc>
          <w:tcPr>
            <w:tcW w:w="1170" w:type="dxa"/>
            <w:vAlign w:val="center"/>
          </w:tcPr>
          <w:p w:rsidR="00C71801" w:rsidRPr="001F35A7" w:rsidRDefault="00C71801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6/27/2011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746,029</w:t>
            </w:r>
          </w:p>
        </w:tc>
        <w:tc>
          <w:tcPr>
            <w:tcW w:w="990" w:type="dxa"/>
            <w:vAlign w:val="center"/>
          </w:tcPr>
          <w:p w:rsidR="00C71801" w:rsidRPr="001F35A7" w:rsidRDefault="00C71801" w:rsidP="001F35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9,846</w:t>
            </w:r>
          </w:p>
        </w:tc>
        <w:tc>
          <w:tcPr>
            <w:tcW w:w="1260" w:type="dxa"/>
            <w:vAlign w:val="center"/>
          </w:tcPr>
          <w:p w:rsidR="00C71801" w:rsidRPr="001F35A7" w:rsidRDefault="00632BD2" w:rsidP="001F35A7">
            <w:pPr>
              <w:jc w:val="center"/>
              <w:rPr>
                <w:sz w:val="18"/>
                <w:szCs w:val="18"/>
              </w:rPr>
            </w:pPr>
            <w:r w:rsidRPr="00632BD2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350" w:type="dxa"/>
            <w:vAlign w:val="center"/>
          </w:tcPr>
          <w:p w:rsidR="00C71801" w:rsidRPr="001F35A7" w:rsidRDefault="00632BD2" w:rsidP="001F35A7">
            <w:pPr>
              <w:jc w:val="center"/>
              <w:rPr>
                <w:sz w:val="18"/>
                <w:szCs w:val="18"/>
              </w:rPr>
            </w:pPr>
            <w:r w:rsidRPr="00632BD2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350" w:type="dxa"/>
            <w:vAlign w:val="center"/>
          </w:tcPr>
          <w:p w:rsidR="00C71801" w:rsidRPr="001F35A7" w:rsidRDefault="00632BD2" w:rsidP="001F35A7">
            <w:pPr>
              <w:jc w:val="center"/>
              <w:rPr>
                <w:sz w:val="18"/>
                <w:szCs w:val="18"/>
              </w:rPr>
            </w:pPr>
            <w:r w:rsidRPr="00632BD2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0" w:type="dxa"/>
            <w:vAlign w:val="center"/>
          </w:tcPr>
          <w:p w:rsidR="00C71801" w:rsidRPr="001F35A7" w:rsidRDefault="00632BD2" w:rsidP="001F35A7">
            <w:pPr>
              <w:jc w:val="center"/>
              <w:rPr>
                <w:sz w:val="18"/>
                <w:szCs w:val="18"/>
              </w:rPr>
            </w:pPr>
            <w:r w:rsidRPr="00632BD2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0" w:type="dxa"/>
            <w:vAlign w:val="center"/>
          </w:tcPr>
          <w:p w:rsidR="00C71801" w:rsidRPr="001F35A7" w:rsidRDefault="00632BD2" w:rsidP="001F35A7">
            <w:pPr>
              <w:jc w:val="center"/>
              <w:rPr>
                <w:sz w:val="18"/>
                <w:szCs w:val="18"/>
              </w:rPr>
            </w:pPr>
            <w:r w:rsidRPr="00632BD2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0" w:type="dxa"/>
            <w:vAlign w:val="center"/>
          </w:tcPr>
          <w:p w:rsidR="00C71801" w:rsidRPr="001F35A7" w:rsidRDefault="00632BD2" w:rsidP="001F35A7">
            <w:pPr>
              <w:jc w:val="center"/>
              <w:rPr>
                <w:sz w:val="18"/>
                <w:szCs w:val="18"/>
              </w:rPr>
            </w:pPr>
            <w:r w:rsidRPr="00632BD2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617" w:type="dxa"/>
            <w:tcBorders>
              <w:right w:val="nil"/>
            </w:tcBorders>
            <w:vAlign w:val="center"/>
          </w:tcPr>
          <w:p w:rsidR="00C71801" w:rsidRPr="001F35A7" w:rsidRDefault="00632BD2" w:rsidP="001F35A7">
            <w:pPr>
              <w:jc w:val="center"/>
              <w:rPr>
                <w:sz w:val="18"/>
                <w:szCs w:val="18"/>
              </w:rPr>
            </w:pPr>
            <w:r w:rsidRPr="00632BD2">
              <w:rPr>
                <w:sz w:val="18"/>
                <w:szCs w:val="18"/>
                <w:vertAlign w:val="superscript"/>
              </w:rPr>
              <w:t>6</w:t>
            </w:r>
          </w:p>
        </w:tc>
      </w:tr>
      <w:tr w:rsidR="00632BD2" w:rsidRPr="001F35A7" w:rsidTr="004A6A38">
        <w:trPr>
          <w:trHeight w:val="288"/>
          <w:jc w:val="center"/>
        </w:trPr>
        <w:tc>
          <w:tcPr>
            <w:tcW w:w="3514" w:type="dxa"/>
            <w:tcBorders>
              <w:left w:val="nil"/>
              <w:bottom w:val="single" w:sz="4" w:space="0" w:color="auto"/>
            </w:tcBorders>
            <w:vAlign w:val="center"/>
          </w:tcPr>
          <w:p w:rsidR="00632BD2" w:rsidRPr="001F35A7" w:rsidRDefault="00632BD2" w:rsidP="00632BD2">
            <w:pPr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Deaths, 1980-2010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632BD2" w:rsidRPr="001F35A7" w:rsidRDefault="00632BD2" w:rsidP="00632B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6/30/2011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632BD2" w:rsidRPr="001F35A7" w:rsidRDefault="00632BD2" w:rsidP="00632B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1,207,305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632BD2" w:rsidRPr="001F35A7" w:rsidRDefault="00632BD2" w:rsidP="00632B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8,896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32BD2" w:rsidRPr="001F35A7" w:rsidRDefault="00632BD2" w:rsidP="00632BD2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1,478 (16.6%)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632BD2" w:rsidRPr="001F35A7" w:rsidRDefault="00632BD2" w:rsidP="00632BD2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94.1%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632BD2" w:rsidRPr="001F35A7" w:rsidRDefault="00632BD2" w:rsidP="00632BD2">
            <w:pPr>
              <w:jc w:val="center"/>
              <w:rPr>
                <w:sz w:val="18"/>
                <w:szCs w:val="18"/>
              </w:rPr>
            </w:pPr>
            <w:r w:rsidRPr="001F35A7">
              <w:rPr>
                <w:sz w:val="18"/>
                <w:szCs w:val="18"/>
              </w:rPr>
              <w:t>0.4%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632BD2" w:rsidRPr="001F35A7" w:rsidRDefault="00632BD2" w:rsidP="00632B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14,426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632BD2" w:rsidRPr="001F35A7" w:rsidRDefault="00632BD2" w:rsidP="00632B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15,904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632BD2" w:rsidRPr="001F35A7" w:rsidRDefault="00632BD2" w:rsidP="00632B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35A7">
              <w:rPr>
                <w:rFonts w:ascii="Calibri" w:hAnsi="Calibri" w:cs="Calibri"/>
                <w:color w:val="000000"/>
                <w:sz w:val="18"/>
                <w:szCs w:val="18"/>
              </w:rPr>
              <w:t>10.2%</w:t>
            </w:r>
          </w:p>
        </w:tc>
        <w:tc>
          <w:tcPr>
            <w:tcW w:w="1617" w:type="dxa"/>
            <w:tcBorders>
              <w:bottom w:val="single" w:sz="4" w:space="0" w:color="auto"/>
              <w:right w:val="nil"/>
            </w:tcBorders>
            <w:vAlign w:val="center"/>
          </w:tcPr>
          <w:p w:rsidR="00632BD2" w:rsidRPr="00814085" w:rsidRDefault="00632BD2" w:rsidP="00632BD2">
            <w:pPr>
              <w:jc w:val="center"/>
              <w:rPr>
                <w:b/>
                <w:sz w:val="18"/>
                <w:szCs w:val="18"/>
              </w:rPr>
            </w:pPr>
            <w:r w:rsidRPr="00814085">
              <w:rPr>
                <w:b/>
                <w:sz w:val="18"/>
                <w:szCs w:val="18"/>
              </w:rPr>
              <w:t>9.3%</w:t>
            </w:r>
          </w:p>
        </w:tc>
      </w:tr>
      <w:tr w:rsidR="00632BD2" w:rsidRPr="001F35A7" w:rsidTr="004A6A38">
        <w:trPr>
          <w:trHeight w:val="288"/>
          <w:jc w:val="center"/>
        </w:trPr>
        <w:tc>
          <w:tcPr>
            <w:tcW w:w="3514" w:type="dxa"/>
            <w:tcBorders>
              <w:left w:val="nil"/>
              <w:bottom w:val="single" w:sz="4" w:space="0" w:color="auto"/>
            </w:tcBorders>
            <w:vAlign w:val="center"/>
          </w:tcPr>
          <w:p w:rsidR="00632BD2" w:rsidRPr="001F35A7" w:rsidRDefault="00632BD2" w:rsidP="00632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Cancer registry</w:t>
            </w:r>
            <w:r w:rsidR="004A6A38" w:rsidRPr="004A6A38">
              <w:rPr>
                <w:sz w:val="18"/>
                <w:szCs w:val="18"/>
                <w:vertAlign w:val="superscript"/>
              </w:rPr>
              <w:t>7</w:t>
            </w:r>
            <w:r w:rsidRPr="001F35A7">
              <w:rPr>
                <w:sz w:val="18"/>
                <w:szCs w:val="18"/>
              </w:rPr>
              <w:t>, 1992-2010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632BD2" w:rsidRPr="001F35A7" w:rsidRDefault="00632BD2" w:rsidP="001F35A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5A7">
              <w:rPr>
                <w:rFonts w:ascii="Calibri" w:hAnsi="Calibri" w:cs="Calibri"/>
                <w:sz w:val="18"/>
                <w:szCs w:val="18"/>
              </w:rPr>
              <w:t>10/17/2011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632BD2" w:rsidRPr="001F35A7" w:rsidRDefault="00632BD2" w:rsidP="001F35A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5A7">
              <w:rPr>
                <w:rFonts w:ascii="Calibri" w:hAnsi="Calibri" w:cs="Calibri"/>
                <w:sz w:val="18"/>
                <w:szCs w:val="18"/>
              </w:rPr>
              <w:t>590,240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632BD2" w:rsidRPr="001F35A7" w:rsidRDefault="00632BD2" w:rsidP="001F35A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35A7">
              <w:rPr>
                <w:rFonts w:ascii="Calibri" w:hAnsi="Calibri" w:cs="Calibri"/>
                <w:sz w:val="18"/>
                <w:szCs w:val="18"/>
              </w:rPr>
              <w:t>3,759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32BD2" w:rsidRPr="001F35A7" w:rsidRDefault="00632BD2" w:rsidP="001F3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632BD2" w:rsidRPr="001F35A7" w:rsidRDefault="00632BD2" w:rsidP="001F3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632BD2" w:rsidRPr="001F35A7" w:rsidRDefault="00632BD2" w:rsidP="001F3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632BD2" w:rsidRPr="001F35A7" w:rsidRDefault="00632BD2" w:rsidP="001F3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632BD2" w:rsidRPr="001F35A7" w:rsidRDefault="00632BD2" w:rsidP="001F3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632BD2" w:rsidRPr="001F35A7" w:rsidRDefault="00632BD2" w:rsidP="001F3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617" w:type="dxa"/>
            <w:tcBorders>
              <w:bottom w:val="single" w:sz="4" w:space="0" w:color="auto"/>
              <w:right w:val="nil"/>
            </w:tcBorders>
            <w:vAlign w:val="center"/>
          </w:tcPr>
          <w:p w:rsidR="00632BD2" w:rsidRPr="001F35A7" w:rsidRDefault="00632BD2" w:rsidP="001F3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7</w:t>
            </w:r>
          </w:p>
        </w:tc>
      </w:tr>
      <w:tr w:rsidR="00632BD2" w:rsidRPr="001F35A7" w:rsidTr="004A6A38">
        <w:trPr>
          <w:jc w:val="center"/>
        </w:trPr>
        <w:tc>
          <w:tcPr>
            <w:tcW w:w="1521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32BD2" w:rsidRPr="00C71801" w:rsidRDefault="00632BD2" w:rsidP="00632BD2">
            <w:pPr>
              <w:rPr>
                <w:sz w:val="16"/>
                <w:szCs w:val="16"/>
              </w:rPr>
            </w:pPr>
            <w:r w:rsidRPr="00C71801">
              <w:rPr>
                <w:sz w:val="16"/>
                <w:szCs w:val="16"/>
                <w:vertAlign w:val="superscript"/>
              </w:rPr>
              <w:t>1</w:t>
            </w:r>
            <w:r w:rsidRPr="00C71801">
              <w:rPr>
                <w:sz w:val="16"/>
                <w:szCs w:val="16"/>
              </w:rPr>
              <w:t xml:space="preserve"> Match &amp; misclassification numbers reported are cumulative across all NPAIHB linkages with the </w:t>
            </w:r>
            <w:r>
              <w:rPr>
                <w:sz w:val="16"/>
                <w:szCs w:val="16"/>
              </w:rPr>
              <w:t>Cancer Data Registry of Idaho</w:t>
            </w:r>
          </w:p>
        </w:tc>
      </w:tr>
      <w:tr w:rsidR="00632BD2" w:rsidRPr="001F35A7" w:rsidTr="004A6A38">
        <w:trPr>
          <w:jc w:val="center"/>
        </w:trPr>
        <w:tc>
          <w:tcPr>
            <w:tcW w:w="152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BD2" w:rsidRPr="00C71801" w:rsidRDefault="00632BD2" w:rsidP="00C71801">
            <w:pPr>
              <w:rPr>
                <w:sz w:val="16"/>
                <w:szCs w:val="16"/>
              </w:rPr>
            </w:pPr>
            <w:r w:rsidRPr="00C71801">
              <w:rPr>
                <w:sz w:val="16"/>
                <w:szCs w:val="16"/>
                <w:vertAlign w:val="superscript"/>
              </w:rPr>
              <w:t>2</w:t>
            </w:r>
            <w:r w:rsidRPr="00C71801">
              <w:rPr>
                <w:sz w:val="16"/>
                <w:szCs w:val="16"/>
              </w:rPr>
              <w:t xml:space="preserve"> Match completed by DMAP staff; total records sent for linkage is unknown. Very limited dataset retained by NPAIHB</w:t>
            </w:r>
          </w:p>
        </w:tc>
      </w:tr>
      <w:tr w:rsidR="00632BD2" w:rsidRPr="001F35A7" w:rsidTr="004A6A38">
        <w:trPr>
          <w:jc w:val="center"/>
        </w:trPr>
        <w:tc>
          <w:tcPr>
            <w:tcW w:w="152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BD2" w:rsidRPr="00C71801" w:rsidRDefault="00632BD2" w:rsidP="00C71801">
            <w:pPr>
              <w:rPr>
                <w:sz w:val="16"/>
                <w:szCs w:val="16"/>
              </w:rPr>
            </w:pPr>
            <w:r w:rsidRPr="00C71801">
              <w:rPr>
                <w:sz w:val="16"/>
                <w:szCs w:val="16"/>
                <w:vertAlign w:val="superscript"/>
              </w:rPr>
              <w:t>3</w:t>
            </w:r>
            <w:r w:rsidRPr="00C71801">
              <w:rPr>
                <w:sz w:val="16"/>
                <w:szCs w:val="16"/>
              </w:rPr>
              <w:t xml:space="preserve"> Earlier diagnosis years had been previously corrected</w:t>
            </w:r>
          </w:p>
        </w:tc>
      </w:tr>
      <w:tr w:rsidR="00632BD2" w:rsidRPr="001F35A7" w:rsidTr="004A6A38">
        <w:trPr>
          <w:jc w:val="center"/>
        </w:trPr>
        <w:tc>
          <w:tcPr>
            <w:tcW w:w="152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BD2" w:rsidRPr="00C71801" w:rsidRDefault="00632BD2" w:rsidP="00C71801">
            <w:pPr>
              <w:rPr>
                <w:sz w:val="16"/>
                <w:szCs w:val="16"/>
              </w:rPr>
            </w:pPr>
            <w:r w:rsidRPr="00C71801">
              <w:rPr>
                <w:sz w:val="16"/>
                <w:szCs w:val="16"/>
                <w:vertAlign w:val="superscript"/>
              </w:rPr>
              <w:t xml:space="preserve">4 </w:t>
            </w:r>
            <w:r w:rsidRPr="00C71801">
              <w:rPr>
                <w:sz w:val="16"/>
                <w:szCs w:val="16"/>
              </w:rPr>
              <w:t>Match completed with moms’ identifiers. Race collecti</w:t>
            </w:r>
            <w:r>
              <w:rPr>
                <w:sz w:val="16"/>
                <w:szCs w:val="16"/>
              </w:rPr>
              <w:t>on/coding changed between 2007 and</w:t>
            </w:r>
            <w:r w:rsidRPr="00C71801">
              <w:rPr>
                <w:sz w:val="16"/>
                <w:szCs w:val="16"/>
              </w:rPr>
              <w:t xml:space="preserve"> 2008 from single to multiple race reporting. For 2008-2010 data we used any mention of AI/AN as an AI/</w:t>
            </w:r>
            <w:proofErr w:type="gramStart"/>
            <w:r w:rsidRPr="00C71801">
              <w:rPr>
                <w:sz w:val="16"/>
                <w:szCs w:val="16"/>
              </w:rPr>
              <w:t>AN</w:t>
            </w:r>
            <w:proofErr w:type="gramEnd"/>
            <w:r w:rsidRPr="00C71801">
              <w:rPr>
                <w:sz w:val="16"/>
                <w:szCs w:val="16"/>
              </w:rPr>
              <w:t xml:space="preserve"> record</w:t>
            </w:r>
            <w:r>
              <w:rPr>
                <w:sz w:val="16"/>
                <w:szCs w:val="16"/>
              </w:rPr>
              <w:t>.</w:t>
            </w:r>
          </w:p>
        </w:tc>
      </w:tr>
      <w:tr w:rsidR="00632BD2" w:rsidRPr="001F35A7" w:rsidTr="004A6A38">
        <w:trPr>
          <w:jc w:val="center"/>
        </w:trPr>
        <w:tc>
          <w:tcPr>
            <w:tcW w:w="152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BD2" w:rsidRPr="00C71801" w:rsidRDefault="00632BD2" w:rsidP="00C71801">
            <w:pPr>
              <w:rPr>
                <w:sz w:val="18"/>
                <w:szCs w:val="18"/>
              </w:rPr>
            </w:pPr>
            <w:r w:rsidRPr="00C71801">
              <w:rPr>
                <w:sz w:val="16"/>
                <w:szCs w:val="18"/>
                <w:vertAlign w:val="superscript"/>
              </w:rPr>
              <w:t xml:space="preserve">5 </w:t>
            </w:r>
            <w:r w:rsidRPr="00C71801">
              <w:rPr>
                <w:sz w:val="16"/>
                <w:szCs w:val="18"/>
              </w:rPr>
              <w:t>Communicable disease data system. We did not retain a data file for analysis following this linkage so we are unable to report on AI/ANs coded in Orpheus but not matched to the Tribal Registry; DHS should have this information</w:t>
            </w:r>
            <w:r>
              <w:rPr>
                <w:sz w:val="16"/>
                <w:szCs w:val="18"/>
              </w:rPr>
              <w:t>.</w:t>
            </w:r>
          </w:p>
        </w:tc>
      </w:tr>
      <w:tr w:rsidR="00632BD2" w:rsidRPr="001F35A7" w:rsidTr="004A6A38">
        <w:trPr>
          <w:jc w:val="center"/>
        </w:trPr>
        <w:tc>
          <w:tcPr>
            <w:tcW w:w="152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BD2" w:rsidRPr="00632BD2" w:rsidRDefault="00632BD2" w:rsidP="00C71801">
            <w:pPr>
              <w:rPr>
                <w:sz w:val="18"/>
                <w:szCs w:val="18"/>
              </w:rPr>
            </w:pPr>
            <w:r w:rsidRPr="00632BD2">
              <w:rPr>
                <w:sz w:val="16"/>
                <w:szCs w:val="18"/>
                <w:vertAlign w:val="superscript"/>
              </w:rPr>
              <w:t xml:space="preserve">6 </w:t>
            </w:r>
            <w:r w:rsidRPr="00632BD2">
              <w:rPr>
                <w:sz w:val="16"/>
                <w:szCs w:val="18"/>
              </w:rPr>
              <w:t>CHARS 2010 data did not include any race information due to coding errors. We were not able to evaluate misclassification, just identify AI/ANs through the matching process</w:t>
            </w:r>
          </w:p>
        </w:tc>
      </w:tr>
      <w:tr w:rsidR="00632BD2" w:rsidRPr="001F35A7" w:rsidTr="004A6A38">
        <w:trPr>
          <w:jc w:val="center"/>
        </w:trPr>
        <w:tc>
          <w:tcPr>
            <w:tcW w:w="152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BD2" w:rsidRPr="00632BD2" w:rsidRDefault="00632BD2" w:rsidP="00632BD2">
            <w:pPr>
              <w:rPr>
                <w:sz w:val="16"/>
                <w:szCs w:val="18"/>
              </w:rPr>
            </w:pPr>
            <w:r w:rsidRPr="00632BD2">
              <w:rPr>
                <w:sz w:val="16"/>
                <w:szCs w:val="18"/>
                <w:vertAlign w:val="superscript"/>
              </w:rPr>
              <w:t xml:space="preserve">7 </w:t>
            </w:r>
            <w:r w:rsidRPr="00632BD2">
              <w:rPr>
                <w:sz w:val="16"/>
                <w:szCs w:val="18"/>
              </w:rPr>
              <w:t>We linked with WSCR so their data could be cor</w:t>
            </w:r>
            <w:r>
              <w:rPr>
                <w:sz w:val="16"/>
                <w:szCs w:val="18"/>
              </w:rPr>
              <w:t xml:space="preserve">rected prior to the annual call for </w:t>
            </w:r>
            <w:r w:rsidRPr="00632BD2">
              <w:rPr>
                <w:sz w:val="16"/>
                <w:szCs w:val="18"/>
              </w:rPr>
              <w:t>data and release of annual statistical files. We have not yet received an analytic data set</w:t>
            </w:r>
            <w:r>
              <w:rPr>
                <w:sz w:val="16"/>
                <w:szCs w:val="18"/>
              </w:rPr>
              <w:t>.</w:t>
            </w:r>
          </w:p>
        </w:tc>
      </w:tr>
    </w:tbl>
    <w:p w:rsidR="003F23C3" w:rsidRDefault="003F23C3"/>
    <w:sectPr w:rsidR="003F23C3" w:rsidSect="004F533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3D"/>
    <w:rsid w:val="001F0638"/>
    <w:rsid w:val="001F35A7"/>
    <w:rsid w:val="003F23C3"/>
    <w:rsid w:val="004A6A38"/>
    <w:rsid w:val="004F533D"/>
    <w:rsid w:val="00632BD2"/>
    <w:rsid w:val="00814085"/>
    <w:rsid w:val="00A96E4E"/>
    <w:rsid w:val="00C71801"/>
    <w:rsid w:val="00F5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Hoopes</dc:creator>
  <cp:lastModifiedBy>Megan Hoopes</cp:lastModifiedBy>
  <cp:revision>4</cp:revision>
  <cp:lastPrinted>2012-04-10T20:54:00Z</cp:lastPrinted>
  <dcterms:created xsi:type="dcterms:W3CDTF">2012-04-10T18:53:00Z</dcterms:created>
  <dcterms:modified xsi:type="dcterms:W3CDTF">2012-04-10T20:59:00Z</dcterms:modified>
</cp:coreProperties>
</file>